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A2" w:rsidRDefault="005D7303" w:rsidP="00464EA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К</w:t>
      </w:r>
      <w:r w:rsidR="00464EA2">
        <w:rPr>
          <w:rFonts w:ascii="Times New Roman" w:eastAsia="Times New Roman" w:hAnsi="Times New Roman"/>
          <w:b/>
          <w:sz w:val="28"/>
          <w:szCs w:val="28"/>
          <w:lang w:val="ru-RU"/>
        </w:rPr>
        <w:t>арбоцистеин (</w:t>
      </w:r>
      <w:r w:rsidR="00464EA2" w:rsidRPr="00464EA2">
        <w:rPr>
          <w:rFonts w:ascii="Times New Roman" w:eastAsia="Times New Roman" w:hAnsi="Times New Roman"/>
          <w:b/>
          <w:sz w:val="28"/>
          <w:szCs w:val="28"/>
          <w:lang w:val="ru-RU"/>
        </w:rPr>
        <w:t>Бронхобос</w:t>
      </w:r>
      <w:r w:rsidR="00464EA2" w:rsidRPr="007575E1">
        <w:rPr>
          <w:rFonts w:ascii="Times New Roman" w:eastAsia="Times New Roman" w:hAnsi="Times New Roman"/>
          <w:b/>
          <w:sz w:val="28"/>
          <w:szCs w:val="28"/>
          <w:vertAlign w:val="superscript"/>
          <w:lang w:val="ru-RU"/>
        </w:rPr>
        <w:t>®</w:t>
      </w:r>
      <w:r w:rsidR="00464EA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) в </w:t>
      </w:r>
      <w:bookmarkStart w:id="0" w:name="_GoBack"/>
      <w:bookmarkEnd w:id="0"/>
      <w:r w:rsidR="00464EA2">
        <w:rPr>
          <w:rFonts w:ascii="Times New Roman" w:eastAsia="Times New Roman" w:hAnsi="Times New Roman"/>
          <w:b/>
          <w:sz w:val="28"/>
          <w:szCs w:val="28"/>
          <w:lang w:val="ru-RU"/>
        </w:rPr>
        <w:t>отоневро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логической практике.</w:t>
      </w:r>
    </w:p>
    <w:p w:rsidR="00E521A7" w:rsidRPr="000F598C" w:rsidRDefault="005D7303" w:rsidP="00464EA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Тиннитус и ди</w:t>
      </w:r>
      <w:r w:rsidR="00C6005A">
        <w:rPr>
          <w:rFonts w:ascii="Times New Roman" w:eastAsia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осмия: </w:t>
      </w:r>
      <w:r w:rsidR="00464EA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две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проблемы</w:t>
      </w:r>
      <w:r w:rsidR="00464EA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одно решение.</w:t>
      </w:r>
    </w:p>
    <w:p w:rsidR="005C7822" w:rsidRPr="000F598C" w:rsidRDefault="005C7822" w:rsidP="005C7822">
      <w:pPr>
        <w:spacing w:before="280" w:after="28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к</w:t>
      </w:r>
      <w:r w:rsidRPr="000F598C">
        <w:rPr>
          <w:rFonts w:ascii="Times New Roman" w:eastAsia="Times New Roman" w:hAnsi="Times New Roman"/>
          <w:b/>
          <w:sz w:val="28"/>
          <w:szCs w:val="28"/>
          <w:lang w:val="ru-RU"/>
        </w:rPr>
        <w:t>. м. н. Зайцева</w:t>
      </w:r>
      <w:r w:rsidRPr="002D587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b/>
          <w:sz w:val="28"/>
          <w:szCs w:val="28"/>
          <w:lang w:val="ru-RU"/>
        </w:rPr>
        <w:t>О. В.</w:t>
      </w:r>
    </w:p>
    <w:p w:rsidR="005C7822" w:rsidRDefault="005C7822" w:rsidP="005C782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ФГБУ НКЦ оториноларингологии ФМБА России, Москва </w:t>
      </w:r>
    </w:p>
    <w:p w:rsidR="005C7822" w:rsidRDefault="005C7822" w:rsidP="005C782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598C">
        <w:rPr>
          <w:rFonts w:ascii="Times New Roman" w:eastAsia="Times New Roman" w:hAnsi="Times New Roman"/>
          <w:sz w:val="28"/>
          <w:szCs w:val="28"/>
          <w:lang w:val="ru-RU"/>
        </w:rPr>
        <w:t>(директор –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член-корр. РАН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Дайхес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. А.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9E18FE" w:rsidRPr="009E18FE" w:rsidRDefault="009E18FE" w:rsidP="009E18F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D587A" w:rsidRDefault="00E521A7" w:rsidP="002D587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598C">
        <w:rPr>
          <w:rFonts w:ascii="Times New Roman" w:eastAsia="Times New Roman" w:hAnsi="Times New Roman"/>
          <w:sz w:val="28"/>
          <w:szCs w:val="28"/>
          <w:lang w:val="ru-RU"/>
        </w:rPr>
        <w:t>«Тиннитус – 1 симптом и 1000 причин». Такими словами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web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-сайт немецкой тиннитус-лиги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встречает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своих посетителей. </w:t>
      </w:r>
      <w:r w:rsidRPr="000F598C">
        <w:rPr>
          <w:rFonts w:ascii="Times New Roman" w:eastAsia="Times New Roman" w:hAnsi="Times New Roman"/>
          <w:sz w:val="28"/>
          <w:szCs w:val="28"/>
        </w:rPr>
        <w:t>Tinnitus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 (от лат. </w:t>
      </w:r>
      <w:r w:rsidRPr="000F598C">
        <w:rPr>
          <w:rFonts w:ascii="Times New Roman" w:eastAsia="Times New Roman" w:hAnsi="Times New Roman"/>
          <w:sz w:val="28"/>
          <w:szCs w:val="28"/>
        </w:rPr>
        <w:t>tinnitus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 «звон» — субъективный шум в ушах) может приходить и уходить или быть непрерывным. Может походить на рёв турбины (низкочастотный шум) или писк комара (звук высокой тональности). Звон в ушах может быть одно- и двусторонним. Может быть едва различим в тишине или навязчиво и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ежесекундно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вторгаться в жизнь. Несмотря на разнообразие характеристик, тиннитус — единая проблема миллионов пациентов, врачей, нейрофизиологов, иных специалистов. Ушной шум постоянно сопутствует около 8% взрослого населения Земли [1-5].</w:t>
      </w:r>
    </w:p>
    <w:p w:rsidR="002D587A" w:rsidRDefault="007575E1" w:rsidP="002D587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Считается, что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ушной </w:t>
      </w:r>
      <w:r w:rsidR="000F598C" w:rsidRPr="000F598C">
        <w:rPr>
          <w:rFonts w:ascii="Times New Roman" w:eastAsia="Times New Roman" w:hAnsi="Times New Roman"/>
          <w:sz w:val="28"/>
          <w:szCs w:val="28"/>
          <w:lang w:val="ru-RU"/>
        </w:rPr>
        <w:t>шум</w:t>
      </w:r>
      <w:r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F598C" w:rsidRPr="000F598C">
        <w:rPr>
          <w:rFonts w:ascii="Times New Roman" w:eastAsia="Times New Roman" w:hAnsi="Times New Roman"/>
          <w:sz w:val="28"/>
          <w:szCs w:val="28"/>
          <w:lang w:val="ru-RU"/>
        </w:rPr>
        <w:t>является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 не самостоятельным заболеванием, а лишь симптомом различных патологических состояний, выявление которых должно быть основной целью обследования. </w:t>
      </w:r>
      <w:r w:rsidR="00436D3E">
        <w:rPr>
          <w:rFonts w:ascii="Times New Roman" w:eastAsia="Times New Roman" w:hAnsi="Times New Roman"/>
          <w:sz w:val="28"/>
          <w:szCs w:val="28"/>
          <w:lang w:val="ru-RU"/>
        </w:rPr>
        <w:t>К отиатрическим причина</w:t>
      </w:r>
      <w:r w:rsidR="00464EA2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436D3E">
        <w:rPr>
          <w:rFonts w:ascii="Times New Roman" w:eastAsia="Times New Roman" w:hAnsi="Times New Roman"/>
          <w:sz w:val="28"/>
          <w:szCs w:val="28"/>
          <w:lang w:val="ru-RU"/>
        </w:rPr>
        <w:t xml:space="preserve"> тиннитуса относятся: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серная пробка, экзостозы наружного слухового прохода, наружный отит, </w:t>
      </w:r>
      <w:r w:rsidR="005D7303">
        <w:rPr>
          <w:rFonts w:ascii="Times New Roman" w:eastAsia="Times New Roman" w:hAnsi="Times New Roman"/>
          <w:sz w:val="28"/>
          <w:szCs w:val="28"/>
          <w:lang w:val="ru-RU"/>
        </w:rPr>
        <w:t xml:space="preserve">острый и хронический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средний отит, </w:t>
      </w:r>
      <w:r w:rsidR="00436D3E">
        <w:rPr>
          <w:rFonts w:ascii="Times New Roman" w:eastAsia="Times New Roman" w:hAnsi="Times New Roman"/>
          <w:sz w:val="28"/>
          <w:szCs w:val="28"/>
          <w:lang w:val="ru-RU"/>
        </w:rPr>
        <w:t xml:space="preserve">тубарная дисфункция,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>отосклероз, опухоли барабанной полости, лабиринтиты, сенсоневральная тугоухость, акустическая и баротравма, болезнь</w:t>
      </w:r>
      <w:r w:rsid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Меньера, а также опухоли мосто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>мозжечкового</w:t>
      </w:r>
      <w:r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>угла</w:t>
      </w:r>
      <w:r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21A7" w:rsidRPr="000F598C">
        <w:rPr>
          <w:rFonts w:ascii="Times New Roman" w:eastAsia="Times New Roman" w:hAnsi="Times New Roman"/>
          <w:sz w:val="28"/>
          <w:szCs w:val="28"/>
          <w:lang w:val="ru-RU"/>
        </w:rPr>
        <w:t xml:space="preserve">и внутреннего слухового прохода. </w:t>
      </w:r>
    </w:p>
    <w:p w:rsidR="00A96530" w:rsidRDefault="00A96530" w:rsidP="002D587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965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Для шума при ретрокохлеарном уровне поражения (невринома слухового нерва, церебральные нарушения и др.) характерен монотонный характер, частота в зоне 4000-6000 Гц. При улитковом уровне поражения (болезнь Меньера, кохлеарная форма отосклероза и др.) шум носит сложный характер, с основной частотной характеристикой в зоне 2000-4000 Гц, на фоне чего появлялся шум частотой 350-600 Гц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[6]. При 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>тубарн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 дисфункции ушные шумы различны: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>дующие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такт дыханию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зиянии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слуховой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трубы, шумы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>разлипания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96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стенок трубы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нередко напоминают потрескивания и «лопанье пузырьков», могут быть пульсирующими и сопровождаться заложенностью уха разной степени выраженности.</w:t>
      </w:r>
    </w:p>
    <w:p w:rsidR="00614F2D" w:rsidRDefault="00436D3E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Оценить субъективный ушной шум можно с помощью 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таких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методов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 xml:space="preserve"> как: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регистраци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ушного шума с помощью отоакустической эмиссии (ОАЭ)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проведение импедансометрии в режиме распада акустического рефлекса при заведомо низком стимуле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психоакустическ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шумометри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я –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используя аудиометр, оцени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вается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высот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и «громкость» (интенсивность) субъективного ушного шума. В некоторых случаях идентифицировать ушные шумы не удается в связи с трудностями подбора акустического сигнала, соответствующего представлениям пациента о своем шуме в ушах [</w:t>
      </w:r>
      <w:r w:rsidR="00A96530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>]. Для объективной оценки тяжести субъективного ушного шума в настоящее время используются различные тиннитус-опросники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436D3E">
        <w:rPr>
          <w:rFonts w:ascii="Times New Roman" w:eastAsia="Times New Roman" w:hAnsi="Times New Roman"/>
          <w:sz w:val="28"/>
          <w:szCs w:val="28"/>
        </w:rPr>
        <w:t>Tinnitus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6D3E">
        <w:rPr>
          <w:rFonts w:ascii="Times New Roman" w:eastAsia="Times New Roman" w:hAnsi="Times New Roman"/>
          <w:sz w:val="28"/>
          <w:szCs w:val="28"/>
        </w:rPr>
        <w:t>Questionnaire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436D3E">
        <w:rPr>
          <w:rFonts w:ascii="Times New Roman" w:eastAsia="Times New Roman" w:hAnsi="Times New Roman"/>
          <w:sz w:val="28"/>
          <w:szCs w:val="28"/>
        </w:rPr>
        <w:t>TQ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Pr="00436D3E">
        <w:rPr>
          <w:rFonts w:ascii="Times New Roman" w:eastAsia="Times New Roman" w:hAnsi="Times New Roman"/>
          <w:sz w:val="28"/>
          <w:szCs w:val="28"/>
        </w:rPr>
        <w:t>Tinnitus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6D3E">
        <w:rPr>
          <w:rFonts w:ascii="Times New Roman" w:eastAsia="Times New Roman" w:hAnsi="Times New Roman"/>
          <w:sz w:val="28"/>
          <w:szCs w:val="28"/>
        </w:rPr>
        <w:t>Handicap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6D3E">
        <w:rPr>
          <w:rFonts w:ascii="Times New Roman" w:eastAsia="Times New Roman" w:hAnsi="Times New Roman"/>
          <w:sz w:val="28"/>
          <w:szCs w:val="28"/>
        </w:rPr>
        <w:t>Inventory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436D3E">
        <w:rPr>
          <w:rFonts w:ascii="Times New Roman" w:eastAsia="Times New Roman" w:hAnsi="Times New Roman"/>
          <w:sz w:val="28"/>
          <w:szCs w:val="28"/>
        </w:rPr>
        <w:t>THI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Pr="00436D3E">
        <w:rPr>
          <w:rFonts w:ascii="Times New Roman" w:eastAsia="Times New Roman" w:hAnsi="Times New Roman"/>
          <w:sz w:val="28"/>
          <w:szCs w:val="28"/>
        </w:rPr>
        <w:t>Tinnitus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6D3E">
        <w:rPr>
          <w:rFonts w:ascii="Times New Roman" w:eastAsia="Times New Roman" w:hAnsi="Times New Roman"/>
          <w:sz w:val="28"/>
          <w:szCs w:val="28"/>
        </w:rPr>
        <w:t>Reaction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6D3E">
        <w:rPr>
          <w:rFonts w:ascii="Times New Roman" w:eastAsia="Times New Roman" w:hAnsi="Times New Roman"/>
          <w:sz w:val="28"/>
          <w:szCs w:val="28"/>
        </w:rPr>
        <w:t>Questionnaire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436D3E">
        <w:rPr>
          <w:rFonts w:ascii="Times New Roman" w:eastAsia="Times New Roman" w:hAnsi="Times New Roman"/>
          <w:sz w:val="28"/>
          <w:szCs w:val="28"/>
        </w:rPr>
        <w:t>TRQ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 [</w:t>
      </w:r>
      <w:r w:rsidR="00A96530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614F2D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A96530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Pr="00C6005A">
        <w:rPr>
          <w:rFonts w:ascii="Times New Roman" w:eastAsia="Times New Roman" w:hAnsi="Times New Roman"/>
          <w:sz w:val="28"/>
          <w:szCs w:val="28"/>
          <w:lang w:val="ru-RU"/>
        </w:rPr>
        <w:t xml:space="preserve">]. </w:t>
      </w:r>
      <w:r w:rsidRPr="000E5E3C">
        <w:rPr>
          <w:rFonts w:ascii="Times New Roman" w:eastAsia="Times New Roman" w:hAnsi="Times New Roman"/>
          <w:sz w:val="28"/>
          <w:szCs w:val="28"/>
          <w:lang w:val="ru-RU"/>
        </w:rPr>
        <w:t>Результаты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 xml:space="preserve"> тестирования</w:t>
      </w:r>
      <w:r w:rsidRPr="000E5E3C">
        <w:rPr>
          <w:rFonts w:ascii="Times New Roman" w:eastAsia="Times New Roman" w:hAnsi="Times New Roman"/>
          <w:sz w:val="28"/>
          <w:szCs w:val="28"/>
          <w:lang w:val="ru-RU"/>
        </w:rPr>
        <w:t xml:space="preserve"> оцениваются по набранным баллам.</w:t>
      </w:r>
      <w:r w:rsidR="00614F2D" w:rsidRPr="00614F2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E5E3C" w:rsidRPr="000E5E3C">
        <w:rPr>
          <w:rFonts w:ascii="Times New Roman" w:eastAsia="Times New Roman" w:hAnsi="Times New Roman"/>
          <w:sz w:val="28"/>
          <w:szCs w:val="28"/>
          <w:lang w:val="ru-RU"/>
        </w:rPr>
        <w:t>Визуальная аналоговая шкала (Visual analog scales, VAS)</w:t>
      </w:r>
      <w:r w:rsidR="000E5E3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E5E3C" w:rsidRPr="000E5E3C">
        <w:rPr>
          <w:rFonts w:ascii="Times New Roman" w:eastAsia="Times New Roman" w:hAnsi="Times New Roman"/>
          <w:sz w:val="28"/>
          <w:szCs w:val="28"/>
          <w:lang w:val="ru-RU"/>
        </w:rPr>
        <w:t>является достаточно достоверным и эффективным методом оценки сост</w:t>
      </w:r>
      <w:r w:rsidR="002D587A">
        <w:rPr>
          <w:rFonts w:ascii="Times New Roman" w:eastAsia="Times New Roman" w:hAnsi="Times New Roman"/>
          <w:sz w:val="28"/>
          <w:szCs w:val="28"/>
          <w:lang w:val="ru-RU"/>
        </w:rPr>
        <w:t>ояния пациента с ушным шумом [1</w:t>
      </w:r>
      <w:r w:rsidR="00A96530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0E5E3C" w:rsidRPr="000E5E3C">
        <w:rPr>
          <w:rFonts w:ascii="Times New Roman" w:eastAsia="Times New Roman" w:hAnsi="Times New Roman"/>
          <w:sz w:val="28"/>
          <w:szCs w:val="28"/>
          <w:lang w:val="ru-RU"/>
        </w:rPr>
        <w:t>].</w:t>
      </w:r>
    </w:p>
    <w:p w:rsidR="00751BAC" w:rsidRDefault="00E025C8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Однако 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обследование пациентов с тиннитусом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следует начинать с отоскопии,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оценк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подвижности барабанной перепонки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бязательным является проведение тональной пороговой и надпороговой аудиометрии и </w:t>
      </w:r>
      <w:r>
        <w:rPr>
          <w:rFonts w:ascii="Times New Roman" w:eastAsia="Times New Roman" w:hAnsi="Times New Roman"/>
          <w:sz w:val="28"/>
          <w:szCs w:val="28"/>
        </w:rPr>
        <w:t>ETF</w:t>
      </w:r>
      <w:r>
        <w:rPr>
          <w:rFonts w:ascii="Times New Roman" w:eastAsia="Times New Roman" w:hAnsi="Times New Roman"/>
          <w:sz w:val="28"/>
          <w:szCs w:val="28"/>
          <w:lang w:val="ru-RU"/>
        </w:rPr>
        <w:t>-тест</w:t>
      </w:r>
      <w:r w:rsidR="00751BAC">
        <w:rPr>
          <w:rFonts w:ascii="Times New Roman" w:eastAsia="Times New Roman" w:hAnsi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1BAC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Определить степень проходимости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 слуховых труб </w:t>
      </w:r>
      <w:r>
        <w:rPr>
          <w:rFonts w:ascii="Times New Roman" w:eastAsia="Times New Roman" w:hAnsi="Times New Roman"/>
          <w:sz w:val="28"/>
          <w:szCs w:val="28"/>
          <w:lang w:val="ru-RU"/>
        </w:rPr>
        <w:t>можно с помо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>щью простых проб:</w:t>
      </w:r>
    </w:p>
    <w:p w:rsidR="00751BAC" w:rsidRDefault="00751BAC" w:rsidP="00751B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BAC">
        <w:rPr>
          <w:rFonts w:ascii="Times New Roman" w:eastAsia="Times New Roman" w:hAnsi="Times New Roman"/>
          <w:sz w:val="28"/>
          <w:szCs w:val="28"/>
          <w:lang w:val="ru-RU"/>
        </w:rPr>
        <w:t>Проба с простым глотанием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про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>гл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>ыв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ании </w:t>
      </w:r>
      <w:r w:rsidR="00C26564">
        <w:rPr>
          <w:rFonts w:ascii="Times New Roman" w:eastAsia="Times New Roman" w:hAnsi="Times New Roman"/>
          <w:sz w:val="28"/>
          <w:szCs w:val="28"/>
          <w:lang w:val="ru-RU"/>
        </w:rPr>
        <w:t xml:space="preserve">слюны </w:t>
      </w:r>
      <w:r>
        <w:rPr>
          <w:rFonts w:ascii="Times New Roman" w:eastAsia="Times New Roman" w:hAnsi="Times New Roman"/>
          <w:sz w:val="28"/>
          <w:szCs w:val="28"/>
          <w:lang w:val="ru-RU"/>
        </w:rPr>
        <w:t>пациент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 ощущает "треск" в ушах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1BAC" w:rsidP="00751B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BAC">
        <w:rPr>
          <w:rFonts w:ascii="Times New Roman" w:eastAsia="Times New Roman" w:hAnsi="Times New Roman"/>
          <w:sz w:val="28"/>
          <w:szCs w:val="28"/>
          <w:lang w:val="ru-RU"/>
        </w:rPr>
        <w:t>Проба Тойнби (глотание при прижатых крыльях носа). Пациент зажимает нос и делает глотательные движения. При хорошей проходимости слуховых труб также ощу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>щается "треск" в ушах</w:t>
      </w:r>
      <w:r w:rsidR="004713F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1BAC" w:rsidP="00751B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BAC">
        <w:rPr>
          <w:rFonts w:ascii="Times New Roman" w:eastAsia="Times New Roman" w:hAnsi="Times New Roman"/>
          <w:sz w:val="28"/>
          <w:szCs w:val="28"/>
          <w:lang w:val="ru-RU"/>
        </w:rPr>
        <w:t>Проба Вал</w:t>
      </w:r>
      <w:r>
        <w:rPr>
          <w:rFonts w:ascii="Times New Roman" w:eastAsia="Times New Roman" w:hAnsi="Times New Roman"/>
          <w:sz w:val="28"/>
          <w:szCs w:val="28"/>
          <w:lang w:val="ru-RU"/>
        </w:rPr>
        <w:t>ьсальвы (натуживание при зажатом носе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4713F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75E1" w:rsidP="00751B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Продувание по Политцеру</w:t>
      </w:r>
      <w:r w:rsidR="004713F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1BAC" w:rsidP="00751B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BAC">
        <w:rPr>
          <w:rFonts w:ascii="Times New Roman" w:eastAsia="Times New Roman" w:hAnsi="Times New Roman"/>
          <w:sz w:val="28"/>
          <w:szCs w:val="28"/>
          <w:lang w:val="ru-RU"/>
        </w:rPr>
        <w:t>Катетеризация слуховых тр</w:t>
      </w:r>
      <w:r>
        <w:rPr>
          <w:rFonts w:ascii="Times New Roman" w:eastAsia="Times New Roman" w:hAnsi="Times New Roman"/>
          <w:sz w:val="28"/>
          <w:szCs w:val="28"/>
          <w:lang w:val="ru-RU"/>
        </w:rPr>
        <w:t>уб</w:t>
      </w:r>
      <w:r w:rsidR="004713F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51BAC" w:rsidRDefault="00751BAC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выявления </w:t>
      </w:r>
      <w:r w:rsidRPr="00751BAC">
        <w:rPr>
          <w:rFonts w:ascii="Times New Roman" w:eastAsia="Times New Roman" w:hAnsi="Times New Roman"/>
          <w:sz w:val="28"/>
          <w:szCs w:val="28"/>
          <w:lang w:val="ru-RU"/>
        </w:rPr>
        <w:t xml:space="preserve">тубарной дисфункции целесообразно провести эндоскопический осмотр </w:t>
      </w:r>
      <w:r>
        <w:rPr>
          <w:rFonts w:ascii="Times New Roman" w:eastAsia="Times New Roman" w:hAnsi="Times New Roman"/>
          <w:sz w:val="28"/>
          <w:szCs w:val="28"/>
          <w:lang w:val="ru-RU"/>
        </w:rPr>
        <w:t>глоточного устья слуховой трубы.</w:t>
      </w:r>
    </w:p>
    <w:p w:rsidR="00C26564" w:rsidRDefault="00C26564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6564" w:rsidRDefault="00C26564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26564">
        <w:rPr>
          <w:rFonts w:ascii="Times New Roman" w:eastAsia="Times New Roman" w:hAnsi="Times New Roman"/>
          <w:sz w:val="28"/>
          <w:szCs w:val="28"/>
          <w:lang w:val="ru-RU"/>
        </w:rPr>
        <w:t>За 01.2015-09.2016 г. в ФБГУ НКЦО обратилось 56 пациентов с жалобами на ушно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й шум: 33 женщины и 23 мужчины 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в возрасте от 17 до 69 лет</w:t>
      </w:r>
      <w:r>
        <w:rPr>
          <w:rFonts w:ascii="Times New Roman" w:eastAsia="Times New Roman" w:hAnsi="Times New Roman"/>
          <w:sz w:val="28"/>
          <w:szCs w:val="28"/>
          <w:lang w:val="ru-RU"/>
        </w:rPr>
        <w:t>. Длительность заболевания варьировала от 1 месяца до нескольких лет, в том числе 5 пациентов затруднились с определением сроков начала заболевания.</w:t>
      </w:r>
    </w:p>
    <w:p w:rsidR="00C26564" w:rsidRDefault="00C26564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26564">
        <w:rPr>
          <w:rFonts w:ascii="Times New Roman" w:eastAsia="Times New Roman" w:hAnsi="Times New Roman"/>
          <w:sz w:val="28"/>
          <w:szCs w:val="28"/>
          <w:lang w:val="ru-RU"/>
        </w:rPr>
        <w:t>14 (25%) че</w:t>
      </w:r>
      <w:r>
        <w:rPr>
          <w:rFonts w:ascii="Times New Roman" w:eastAsia="Times New Roman" w:hAnsi="Times New Roman"/>
          <w:sz w:val="28"/>
          <w:szCs w:val="28"/>
          <w:lang w:val="ru-RU"/>
        </w:rPr>
        <w:t>ловек ранее лечение не получали,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36 (64.3%) человек ранее получали лечение, но без эффекта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6 (10.7%) отмечали положительную динамику от ра</w:t>
      </w:r>
      <w:r>
        <w:rPr>
          <w:rFonts w:ascii="Times New Roman" w:eastAsia="Times New Roman" w:hAnsi="Times New Roman"/>
          <w:sz w:val="28"/>
          <w:szCs w:val="28"/>
          <w:lang w:val="ru-RU"/>
        </w:rPr>
        <w:t>нее проведенного лечения, но не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считали ее достаточной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26564" w:rsidRDefault="00C26564" w:rsidP="00C265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На наш взгляд недостаточная эффективность лечения пациентов данной группой может быть объяснена:</w:t>
      </w:r>
    </w:p>
    <w:p w:rsidR="00C26564" w:rsidRDefault="00C26564" w:rsidP="00C2656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2656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Неверно установленным диагнозом (исследование слуха только шепотной речью, недооценка работы слух</w:t>
      </w:r>
      <w:r>
        <w:rPr>
          <w:rFonts w:ascii="Times New Roman" w:eastAsia="Times New Roman" w:hAnsi="Times New Roman"/>
          <w:sz w:val="28"/>
          <w:szCs w:val="28"/>
          <w:lang w:val="ru-RU"/>
        </w:rPr>
        <w:t>овых труб (только тимпанометрия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при тип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«А»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тимпанометрической кривой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))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26564" w:rsidRPr="00C26564" w:rsidRDefault="00C26564" w:rsidP="00C2656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26564">
        <w:rPr>
          <w:rFonts w:ascii="Times New Roman" w:eastAsia="Times New Roman" w:hAnsi="Times New Roman"/>
          <w:sz w:val="28"/>
          <w:szCs w:val="28"/>
          <w:lang w:val="ru-RU"/>
        </w:rPr>
        <w:t>Неадекватно подобранное лечение (назначение препаратов, влияющих на системный короток, в то время как ушной шум носил улитковый характер или был связан с тубарной дисфункцией)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26564" w:rsidRDefault="00C26564" w:rsidP="00C265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Пациентам с ушным шумом при тубарной дисфункции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 xml:space="preserve"> (23 человека)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курс лечения включали: т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опические деконгестанты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3-5 дней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 xml:space="preserve">при необходимости топические кортикостероиды на 6-8 недель, </w:t>
      </w:r>
      <w:r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арбоцистеин (Бронхобос</w:t>
      </w:r>
      <w:r w:rsidR="00D26CCE" w:rsidRPr="00D26CCE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) капсулы 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375 мг – по 2 капс. х 3 р/д 10 дней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>, л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>ечебн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>ую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гимнастик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C26564">
        <w:rPr>
          <w:rFonts w:ascii="Times New Roman" w:eastAsia="Times New Roman" w:hAnsi="Times New Roman"/>
          <w:sz w:val="28"/>
          <w:szCs w:val="28"/>
          <w:lang w:val="ru-RU"/>
        </w:rPr>
        <w:t xml:space="preserve"> для слуховых труб 4-5 р/д</w:t>
      </w:r>
      <w:r w:rsidR="006B0913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>Побочных эффектов ни у</w:t>
      </w:r>
      <w:r w:rsidR="007575E1" w:rsidRPr="007575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>одного пациент зарегистрировано не было.</w:t>
      </w:r>
    </w:p>
    <w:p w:rsidR="006B0913" w:rsidRDefault="006B0913" w:rsidP="006B091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B0913">
        <w:rPr>
          <w:rFonts w:ascii="Times New Roman" w:eastAsia="Times New Roman" w:hAnsi="Times New Roman"/>
          <w:sz w:val="28"/>
          <w:szCs w:val="28"/>
          <w:lang w:val="ru-RU"/>
        </w:rPr>
        <w:t>Результаты лечения 23 пациентов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B0913">
        <w:rPr>
          <w:rFonts w:ascii="Times New Roman" w:eastAsia="Times New Roman" w:hAnsi="Times New Roman"/>
          <w:sz w:val="28"/>
          <w:szCs w:val="28"/>
          <w:lang w:val="ru-RU"/>
        </w:rPr>
        <w:t>с ушным шумом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B0913">
        <w:rPr>
          <w:rFonts w:ascii="Times New Roman" w:eastAsia="Times New Roman" w:hAnsi="Times New Roman"/>
          <w:sz w:val="28"/>
          <w:szCs w:val="28"/>
          <w:lang w:val="ru-RU"/>
        </w:rPr>
        <w:t>тубарной дисфункцией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приведены в таблице.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06"/>
        <w:gridCol w:w="807"/>
        <w:gridCol w:w="807"/>
        <w:gridCol w:w="807"/>
        <w:gridCol w:w="22"/>
        <w:gridCol w:w="1064"/>
        <w:gridCol w:w="1087"/>
        <w:gridCol w:w="1087"/>
        <w:gridCol w:w="11"/>
        <w:gridCol w:w="1075"/>
        <w:gridCol w:w="1087"/>
        <w:gridCol w:w="1087"/>
      </w:tblGrid>
      <w:tr w:rsidR="00382896" w:rsidRPr="00382896" w:rsidTr="00382896">
        <w:trPr>
          <w:trHeight w:val="597"/>
        </w:trPr>
        <w:tc>
          <w:tcPr>
            <w:tcW w:w="3249" w:type="dxa"/>
            <w:gridSpan w:val="5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caps/>
                <w:kern w:val="24"/>
                <w:sz w:val="28"/>
                <w:szCs w:val="28"/>
                <w:lang w:val="ru-RU" w:eastAsia="ru-RU"/>
              </w:rPr>
              <w:t>Субъективная динамика ушного шума</w:t>
            </w:r>
          </w:p>
        </w:tc>
        <w:tc>
          <w:tcPr>
            <w:tcW w:w="3249" w:type="dxa"/>
            <w:gridSpan w:val="4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caps/>
                <w:kern w:val="24"/>
                <w:sz w:val="28"/>
                <w:szCs w:val="28"/>
                <w:lang w:eastAsia="ru-RU"/>
              </w:rPr>
              <w:t>ETF-</w:t>
            </w:r>
            <w:r w:rsidRPr="00382896">
              <w:rPr>
                <w:rFonts w:ascii="Times New Roman" w:eastAsia="Times New Roman" w:hAnsi="Times New Roman" w:cs="Times New Roman"/>
                <w:bCs/>
                <w:caps/>
                <w:kern w:val="24"/>
                <w:sz w:val="28"/>
                <w:szCs w:val="28"/>
                <w:lang w:val="ru-RU" w:eastAsia="ru-RU"/>
              </w:rPr>
              <w:t>тест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caps/>
                <w:kern w:val="24"/>
                <w:sz w:val="28"/>
                <w:szCs w:val="28"/>
                <w:lang w:val="ru-RU" w:eastAsia="ru-RU"/>
              </w:rPr>
              <w:t>шумометрия</w:t>
            </w:r>
          </w:p>
        </w:tc>
      </w:tr>
      <w:tr w:rsidR="00382896" w:rsidRPr="00382896" w:rsidTr="00382896">
        <w:trPr>
          <w:trHeight w:val="2701"/>
        </w:trPr>
        <w:tc>
          <w:tcPr>
            <w:tcW w:w="806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«исчез»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«стал тише»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усилился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eastAsia="ru-RU"/>
              </w:rPr>
              <w:t>St</w:t>
            </w: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 xml:space="preserve">. </w:t>
            </w:r>
            <w:r w:rsidRPr="00382896">
              <w:rPr>
                <w:rFonts w:ascii="Times New Roman" w:hAnsi="Times New Roman" w:cs="Times New Roman"/>
                <w:caps/>
                <w:kern w:val="24"/>
                <w:sz w:val="28"/>
                <w:szCs w:val="28"/>
                <w:lang w:eastAsia="ru-RU"/>
              </w:rPr>
              <w:t>idem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Положительная динамика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Отрицательная динамика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eastAsia="ru-RU"/>
              </w:rPr>
              <w:t>St. idem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Положительная динамика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val="ru-RU" w:eastAsia="ru-RU"/>
              </w:rPr>
              <w:t>Отрицательная динамика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caps/>
                <w:kern w:val="24"/>
                <w:sz w:val="28"/>
                <w:szCs w:val="28"/>
                <w:lang w:eastAsia="ru-RU"/>
              </w:rPr>
              <w:t>St. idem</w:t>
            </w:r>
          </w:p>
        </w:tc>
      </w:tr>
      <w:tr w:rsidR="00382896" w:rsidRPr="00382896" w:rsidTr="00382896">
        <w:trPr>
          <w:trHeight w:val="549"/>
        </w:trPr>
        <w:tc>
          <w:tcPr>
            <w:tcW w:w="806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B0913" w:rsidRPr="006B0913" w:rsidRDefault="006B0913" w:rsidP="003828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8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6B0913" w:rsidRDefault="006B0913" w:rsidP="00C265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B0913" w:rsidRDefault="006B0913" w:rsidP="00C265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Таким образом, включение </w:t>
      </w:r>
      <w:r w:rsidR="009E18FE" w:rsidRPr="009E18FE">
        <w:rPr>
          <w:rFonts w:ascii="Times New Roman" w:eastAsia="Times New Roman" w:hAnsi="Times New Roman"/>
          <w:sz w:val="28"/>
          <w:szCs w:val="28"/>
          <w:lang w:val="ru-RU"/>
        </w:rPr>
        <w:t>карбоцистеин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9E18FE" w:rsidRPr="009E18FE">
        <w:rPr>
          <w:rFonts w:ascii="Times New Roman" w:eastAsia="Times New Roman" w:hAnsi="Times New Roman"/>
          <w:sz w:val="28"/>
          <w:szCs w:val="28"/>
          <w:lang w:val="ru-RU"/>
        </w:rPr>
        <w:t xml:space="preserve"> (Бронхобос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="009E18FE" w:rsidRPr="009E18FE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 в курс лечения пациентов с ушным шумом вследствие тубарной дисфункции позволяет добиваться субъективной и объективной положительной динамики.</w:t>
      </w:r>
    </w:p>
    <w:p w:rsidR="000C1075" w:rsidRDefault="000C1075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107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Дизосмия (диз + греч. osme – обоняние) </w:t>
      </w:r>
      <w:r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0C1075">
        <w:rPr>
          <w:rFonts w:ascii="Times New Roman" w:eastAsia="Times New Roman" w:hAnsi="Times New Roman"/>
          <w:sz w:val="28"/>
          <w:szCs w:val="28"/>
          <w:lang w:val="ru-RU"/>
        </w:rPr>
        <w:t xml:space="preserve"> нарушение обоняния, извращенное восприятие запахов.</w:t>
      </w:r>
    </w:p>
    <w:p w:rsidR="00D72B0A" w:rsidRDefault="00D72B0A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По воздействию на обонятельный, тройничный, языкоглоточный нервы различают пахучие вещества ольфакторного и смешанного (ольфактотригеминального, ольфакто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>глоссофарингеального действия).</w:t>
      </w:r>
    </w:p>
    <w:p w:rsidR="00D72B0A" w:rsidRDefault="00D72B0A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К веществам, являющимся адекватным раздражителем обонятельного нерва или пахучим веществам ольфакторного действия, относятся</w:t>
      </w:r>
      <w:r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D72B0A" w:rsidRDefault="00D72B0A" w:rsidP="00D72B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валериана лекарственная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D72B0A" w:rsidP="00D72B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розовое масло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D72B0A" w:rsidP="00D72B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деготь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D72B0A" w:rsidP="00D72B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скипидар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7575E1" w:rsidP="00D72B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кофе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72B0A" w:rsidRDefault="00D72B0A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Ольфактотригеминальным действием обладают</w:t>
      </w:r>
      <w:r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D72B0A" w:rsidRDefault="000C1075" w:rsidP="00D72B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="00D72B0A" w:rsidRPr="00D72B0A">
        <w:rPr>
          <w:rFonts w:ascii="Times New Roman" w:eastAsia="Times New Roman" w:hAnsi="Times New Roman"/>
          <w:sz w:val="28"/>
          <w:szCs w:val="28"/>
          <w:lang w:val="ru-RU"/>
        </w:rPr>
        <w:t>од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0C1075" w:rsidP="00D72B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D72B0A" w:rsidRPr="00D72B0A">
        <w:rPr>
          <w:rFonts w:ascii="Times New Roman" w:eastAsia="Times New Roman" w:hAnsi="Times New Roman"/>
          <w:sz w:val="28"/>
          <w:szCs w:val="28"/>
          <w:lang w:val="ru-RU"/>
        </w:rPr>
        <w:t>ентол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0C1075" w:rsidP="00D72B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D72B0A" w:rsidRPr="00D72B0A">
        <w:rPr>
          <w:rFonts w:ascii="Times New Roman" w:eastAsia="Times New Roman" w:hAnsi="Times New Roman"/>
          <w:sz w:val="28"/>
          <w:szCs w:val="28"/>
          <w:lang w:val="ru-RU"/>
        </w:rPr>
        <w:t>цетон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0C1075" w:rsidP="00D72B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</w:t>
      </w:r>
      <w:r w:rsidR="00D72B0A" w:rsidRPr="00D72B0A">
        <w:rPr>
          <w:rFonts w:ascii="Times New Roman" w:eastAsia="Times New Roman" w:hAnsi="Times New Roman"/>
          <w:sz w:val="28"/>
          <w:szCs w:val="28"/>
          <w:lang w:val="ru-RU"/>
        </w:rPr>
        <w:t>ормальдегид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C1075" w:rsidRDefault="00D72B0A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Ольфактоглоссофарингеальным действием обладают</w:t>
      </w:r>
      <w:r w:rsidR="000C107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0C1075" w:rsidRDefault="000C1075" w:rsidP="000C10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D72B0A" w:rsidRPr="00D72B0A">
        <w:rPr>
          <w:rFonts w:ascii="Times New Roman" w:eastAsia="Times New Roman" w:hAnsi="Times New Roman"/>
          <w:sz w:val="28"/>
          <w:szCs w:val="28"/>
          <w:lang w:val="ru-RU"/>
        </w:rPr>
        <w:t>лороформ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D72B0A" w:rsidRDefault="00D72B0A" w:rsidP="000C107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2B0A">
        <w:rPr>
          <w:rFonts w:ascii="Times New Roman" w:eastAsia="Times New Roman" w:hAnsi="Times New Roman"/>
          <w:sz w:val="28"/>
          <w:szCs w:val="28"/>
          <w:lang w:val="ru-RU"/>
        </w:rPr>
        <w:t>уксусная кислота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04848" w:rsidRDefault="00D04848" w:rsidP="00D0484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Нарушения дифференциации запахов </w:t>
      </w:r>
      <w:r>
        <w:rPr>
          <w:rFonts w:ascii="Times New Roman" w:eastAsia="Times New Roman" w:hAnsi="Times New Roman"/>
          <w:sz w:val="28"/>
          <w:szCs w:val="28"/>
          <w:lang w:val="ru-RU"/>
        </w:rPr>
        <w:t>всегда свидетельствуют о «центральном» уровне поражения обонятельного анализатора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>перцептивн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и смешанн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 (</w:t>
      </w:r>
      <w:r w:rsidRPr="008A3B39">
        <w:rPr>
          <w:rFonts w:ascii="Times New Roman" w:eastAsia="Times New Roman" w:hAnsi="Times New Roman"/>
          <w:sz w:val="28"/>
          <w:szCs w:val="28"/>
          <w:lang w:val="ru-RU"/>
        </w:rPr>
        <w:t>перцептивно-кондуктивн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ая) формы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дизосмии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и проявляются по типу алиосмии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пахучие вещества воспринимаются как один из запахов окружающей среды, в том числе какосмии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>гнилостный, фекальный запах)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торкосмии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>химический, горький запах, запах гари, металла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паросмии </w:t>
      </w:r>
      <w:r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682687">
        <w:rPr>
          <w:rFonts w:ascii="Times New Roman" w:eastAsia="Times New Roman" w:hAnsi="Times New Roman"/>
          <w:sz w:val="28"/>
          <w:szCs w:val="28"/>
          <w:lang w:val="ru-RU"/>
        </w:rPr>
        <w:t xml:space="preserve"> специфической трансформации узнавания запахов.</w:t>
      </w:r>
    </w:p>
    <w:p w:rsidR="00D72B0A" w:rsidRDefault="000C1075" w:rsidP="00D72B0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Среди причин дизосмии выделяют:</w:t>
      </w:r>
      <w:r w:rsidRPr="000C1075">
        <w:rPr>
          <w:rFonts w:ascii="Times New Roman" w:eastAsia="Times New Roman" w:hAnsi="Times New Roman"/>
          <w:sz w:val="28"/>
          <w:szCs w:val="28"/>
          <w:lang w:val="ru-RU"/>
        </w:rPr>
        <w:t xml:space="preserve"> травмы обонятельной зоны и ситовидной п</w:t>
      </w:r>
      <w:r>
        <w:rPr>
          <w:rFonts w:ascii="Times New Roman" w:eastAsia="Times New Roman" w:hAnsi="Times New Roman"/>
          <w:sz w:val="28"/>
          <w:szCs w:val="28"/>
          <w:lang w:val="ru-RU"/>
        </w:rPr>
        <w:t>ластинки, воспалительные заболевания околоносовых пазух</w:t>
      </w:r>
      <w:r w:rsidRPr="000C1075">
        <w:rPr>
          <w:rFonts w:ascii="Times New Roman" w:eastAsia="Times New Roman" w:hAnsi="Times New Roman"/>
          <w:sz w:val="28"/>
          <w:szCs w:val="28"/>
          <w:lang w:val="ru-RU"/>
        </w:rPr>
        <w:t>, черепно-мозговая травма, лекарственная интоксикация, аллергическая реакция, генетическая мутация, недостаточность витаминов А и В12, нарушение обмена Zn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0C1075">
        <w:rPr>
          <w:rFonts w:ascii="Times New Roman" w:eastAsia="Times New Roman" w:hAnsi="Times New Roman"/>
          <w:sz w:val="28"/>
          <w:szCs w:val="28"/>
          <w:lang w:val="ru-RU"/>
        </w:rPr>
        <w:t>интоксикация солями тяжелых металлов (кадмия, свинца, ртути), вдыхание паров раздражающих в</w:t>
      </w:r>
      <w:r>
        <w:rPr>
          <w:rFonts w:ascii="Times New Roman" w:eastAsia="Times New Roman" w:hAnsi="Times New Roman"/>
          <w:sz w:val="28"/>
          <w:szCs w:val="28"/>
          <w:lang w:val="ru-RU"/>
        </w:rPr>
        <w:t>еществ (формальдегида), вирусные инфекции</w:t>
      </w:r>
      <w:r w:rsidR="0068268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04848" w:rsidRPr="00D04848" w:rsidRDefault="00346D7C" w:rsidP="00D0484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По данным европейских согласительных документов по риносинуситу и назальному полипозу (European Position Paper in Rhinosinusitis and Nasal Polyposis), нарушение обоняния наряду с затруднением носового дыхания, патологическими выделениями из носа и головной болью входит в перечень наиболее частых субъективных признаков острого риносинусита. Согласно оценкам экспертов, частота обонятельной дисфункции у таких больных достигает 14 - 30%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[12]</w:t>
      </w:r>
      <w:r w:rsidRPr="00346D7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Более 80% больных острым синуситом 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>указывают на сопутствующее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 расстройство обоняния.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Обычно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обоняние восстанавливается в среднем в течение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2 недель от начала заболевания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E18FE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9E18FE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Дизосмия 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у пациентов данной группы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в 60–80% не сопровождается деструкцией обонятельного эпителия,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а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связана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с отеком слизистой оболочки и гиперсекрецией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слизи, что 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 xml:space="preserve">приводит к 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закры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>тию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 просвет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 xml:space="preserve"> узкая </w:t>
      </w:r>
      <w:r w:rsidR="00D04848">
        <w:rPr>
          <w:rFonts w:ascii="Times New Roman" w:eastAsia="Times New Roman" w:hAnsi="Times New Roman"/>
          <w:sz w:val="28"/>
          <w:szCs w:val="28"/>
          <w:lang w:val="ru-RU"/>
        </w:rPr>
        <w:t>обонятельной щели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46D7C" w:rsidRPr="00346D7C" w:rsidRDefault="00346D7C" w:rsidP="00346D7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</w:t>
      </w: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ипосмия при риносинуситах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 xml:space="preserve"> развивается вследствие:</w:t>
      </w:r>
    </w:p>
    <w:p w:rsidR="00346D7C" w:rsidRPr="00346D7C" w:rsidRDefault="00895AA7" w:rsidP="00895AA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бтурационн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ого 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фактор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46D7C" w:rsidRPr="00346D7C" w:rsidRDefault="00895AA7" w:rsidP="00895AA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арушени</w:t>
      </w:r>
      <w:r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 xml:space="preserve"> рH секрета боуменовых желез, являющегося растворителем пахучих веществ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46D7C" w:rsidRPr="00346D7C" w:rsidRDefault="00895AA7" w:rsidP="00895AA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етаплази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эпителия, приводящая к поражению обоня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>тельного рецепторного аппарата</w:t>
      </w:r>
      <w:r w:rsidR="00D26CC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04848" w:rsidRDefault="00895AA7" w:rsidP="00346D7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Кроме того, </w:t>
      </w:r>
      <w:r w:rsidR="00346D7C" w:rsidRPr="00346D7C">
        <w:rPr>
          <w:rFonts w:ascii="Times New Roman" w:eastAsia="Times New Roman" w:hAnsi="Times New Roman"/>
          <w:sz w:val="28"/>
          <w:szCs w:val="28"/>
          <w:lang w:val="ru-RU"/>
        </w:rPr>
        <w:t>при синуситах, протекающих с образованием гнойно-гнилостного содержимого, может проявляться объективная какосмия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[14]</w:t>
      </w:r>
      <w:r w:rsidR="00D04848" w:rsidRPr="00D0484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95AA7" w:rsidRDefault="00895AA7" w:rsidP="00346D7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Механизмы развития дизосмии при риносинуситах определяют лечебную тактику:</w:t>
      </w:r>
    </w:p>
    <w:p w:rsidR="00895AA7" w:rsidRPr="00895AA7" w:rsidRDefault="00895AA7" w:rsidP="00895A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>устранение обтурационного фактора (отёка) – деконгестанты</w:t>
      </w:r>
      <w:r>
        <w:rPr>
          <w:rFonts w:ascii="Times New Roman" w:eastAsia="Times New Roman" w:hAnsi="Times New Roman"/>
          <w:sz w:val="28"/>
          <w:szCs w:val="28"/>
          <w:lang w:val="ru-RU"/>
        </w:rPr>
        <w:t>, муколитики</w:t>
      </w:r>
    </w:p>
    <w:p w:rsidR="00895AA7" w:rsidRPr="00895AA7" w:rsidRDefault="00895AA7" w:rsidP="00895A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восстановление рH секрета боуменовых желез, являющегося растворителем пахучих веществ – ирригационная терапия изотоническими растворами</w:t>
      </w:r>
      <w:r>
        <w:rPr>
          <w:rFonts w:ascii="Times New Roman" w:eastAsia="Times New Roman" w:hAnsi="Times New Roman"/>
          <w:sz w:val="28"/>
          <w:szCs w:val="28"/>
          <w:lang w:val="ru-RU"/>
        </w:rPr>
        <w:t>, муколитики</w:t>
      </w:r>
    </w:p>
    <w:p w:rsidR="00895AA7" w:rsidRDefault="00895AA7" w:rsidP="00895A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борьба с метаплазиейя эпителия, приводящей к поражению обонятельного рецепторного аппарата, - ирригационная терапия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[14]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95AA7" w:rsidRDefault="00895AA7" w:rsidP="00895AA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Оценка клинической эффективности карбоцистеина (Бронхобос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) у пациентов с воспалительными заболеваниями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околоносовых пазух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70 пациентов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(о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сновная группа: стандартная терапия + 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 (n=30)</w:t>
      </w:r>
      <w:r>
        <w:rPr>
          <w:rFonts w:ascii="Times New Roman" w:eastAsia="Times New Roman" w:hAnsi="Times New Roman"/>
          <w:sz w:val="28"/>
          <w:szCs w:val="28"/>
          <w:lang w:val="ru-RU"/>
        </w:rPr>
        <w:t>, г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руппа сравнения: стандартная терапия (n=40)</w:t>
      </w:r>
      <w:r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895AA7" w:rsidRDefault="00895AA7" w:rsidP="00895AA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Основная группа (с включением 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 xml:space="preserve">препарата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) с острым синуситом в среднем через 3,4±0,72 сут отмечали значительное улучшение. В контрольной группе – лишь на 7-е сутки лечения</w:t>
      </w:r>
    </w:p>
    <w:p w:rsidR="00895AA7" w:rsidRDefault="00895AA7" w:rsidP="00895AA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На фоне лечения 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 xml:space="preserve">препарата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 регресс жалоб отмечался уже на 2-3 сутки лечения</w:t>
      </w:r>
    </w:p>
    <w:p w:rsidR="00895AA7" w:rsidRPr="00895AA7" w:rsidRDefault="00895AA7" w:rsidP="00895AA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Включение 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 xml:space="preserve">препарата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 xml:space="preserve"> к стандартной антибиотикотерапии увеличивает эффективность последней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[15</w:t>
      </w:r>
      <w:r w:rsidR="00FC0A54" w:rsidRPr="00FC0A54">
        <w:rPr>
          <w:rFonts w:ascii="Times New Roman" w:eastAsia="Times New Roman" w:hAnsi="Times New Roman" w:cs="Times New Roman"/>
          <w:sz w:val="28"/>
          <w:szCs w:val="28"/>
          <w:lang w:val="ru-RU"/>
        </w:rPr>
        <w:t>, 16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C1075" w:rsidRDefault="00895AA7" w:rsidP="00895AA7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Кроме того, включение </w:t>
      </w:r>
      <w:r w:rsidR="007575E1">
        <w:rPr>
          <w:rFonts w:ascii="Times New Roman" w:eastAsia="Times New Roman" w:hAnsi="Times New Roman"/>
          <w:sz w:val="28"/>
          <w:szCs w:val="28"/>
          <w:lang w:val="ru-RU"/>
        </w:rPr>
        <w:t xml:space="preserve">препарата </w:t>
      </w:r>
      <w:r>
        <w:rPr>
          <w:rFonts w:ascii="Times New Roman" w:eastAsia="Times New Roman" w:hAnsi="Times New Roman"/>
          <w:sz w:val="28"/>
          <w:szCs w:val="28"/>
          <w:lang w:val="ru-RU"/>
        </w:rPr>
        <w:t>Бронхобос</w:t>
      </w:r>
      <w:r w:rsidR="007575E1" w:rsidRPr="007575E1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®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комплекс лечебных мероприятий</w:t>
      </w:r>
      <w:r w:rsidR="00B15E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 пациентов с дизосмией и риносинуситом </w:t>
      </w:r>
      <w:r w:rsidR="00B15E7B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пособствует скорейшему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регрессу обонятельных расстройств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14F2D" w:rsidRPr="000F598C" w:rsidRDefault="00614F2D" w:rsidP="00614F2D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598C">
        <w:rPr>
          <w:rFonts w:ascii="Times New Roman" w:eastAsia="Times New Roman" w:hAnsi="Times New Roman"/>
          <w:sz w:val="28"/>
          <w:szCs w:val="28"/>
          <w:lang w:val="ru-RU"/>
        </w:rPr>
        <w:t>Литература:</w:t>
      </w:r>
    </w:p>
    <w:p w:rsidR="00614F2D" w:rsidRPr="00C6005A" w:rsidRDefault="00614F2D" w:rsidP="00614F2D">
      <w:pPr>
        <w:numPr>
          <w:ilvl w:val="0"/>
          <w:numId w:val="1"/>
        </w:numPr>
        <w:spacing w:before="28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98C">
        <w:rPr>
          <w:rFonts w:ascii="Times New Roman" w:eastAsia="Times New Roman" w:hAnsi="Times New Roman"/>
          <w:sz w:val="28"/>
          <w:szCs w:val="28"/>
        </w:rPr>
        <w:t>Mullers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B</w:t>
      </w:r>
      <w:r w:rsidRPr="00C6005A">
        <w:rPr>
          <w:rFonts w:ascii="Times New Roman" w:eastAsia="Times New Roman" w:hAnsi="Times New Roman"/>
          <w:sz w:val="28"/>
          <w:szCs w:val="28"/>
        </w:rPr>
        <w:t>.</w:t>
      </w:r>
      <w:r w:rsidRPr="000F598C">
        <w:rPr>
          <w:rFonts w:ascii="Times New Roman" w:eastAsia="Times New Roman" w:hAnsi="Times New Roman"/>
          <w:sz w:val="28"/>
          <w:szCs w:val="28"/>
        </w:rPr>
        <w:t> Tinnitus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F598C">
        <w:rPr>
          <w:rFonts w:ascii="Times New Roman" w:eastAsia="Times New Roman" w:hAnsi="Times New Roman"/>
          <w:sz w:val="28"/>
          <w:szCs w:val="28"/>
        </w:rPr>
        <w:t>Ein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Leben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ohne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Stille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? // </w:t>
      </w:r>
      <w:r w:rsidRPr="000F598C">
        <w:rPr>
          <w:rFonts w:ascii="Times New Roman" w:eastAsia="Times New Roman" w:hAnsi="Times New Roman"/>
          <w:sz w:val="28"/>
          <w:szCs w:val="28"/>
        </w:rPr>
        <w:t>GERMA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PRESS</w:t>
      </w:r>
      <w:r w:rsidRPr="00C6005A">
        <w:rPr>
          <w:rFonts w:ascii="Times New Roman" w:eastAsia="Times New Roman" w:hAnsi="Times New Roman"/>
          <w:sz w:val="28"/>
          <w:szCs w:val="28"/>
        </w:rPr>
        <w:t>:</w:t>
      </w:r>
      <w:r w:rsidRPr="000F598C">
        <w:rPr>
          <w:rFonts w:ascii="Times New Roman" w:eastAsia="Times New Roman" w:hAnsi="Times New Roman"/>
          <w:sz w:val="28"/>
          <w:szCs w:val="28"/>
        </w:rPr>
        <w:t>Hamburg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. - 2000. - 125 </w:t>
      </w:r>
      <w:r w:rsidRPr="000E5E3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C6005A">
        <w:rPr>
          <w:rFonts w:ascii="Times New Roman" w:eastAsia="Times New Roman" w:hAnsi="Times New Roman"/>
          <w:sz w:val="28"/>
          <w:szCs w:val="28"/>
        </w:rPr>
        <w:t>.</w:t>
      </w:r>
    </w:p>
    <w:p w:rsidR="00614F2D" w:rsidRPr="000F598C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98C">
        <w:rPr>
          <w:rFonts w:ascii="Times New Roman" w:eastAsia="Times New Roman" w:hAnsi="Times New Roman"/>
          <w:sz w:val="28"/>
          <w:szCs w:val="28"/>
        </w:rPr>
        <w:t>Ross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U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F598C">
        <w:rPr>
          <w:rFonts w:ascii="Times New Roman" w:eastAsia="Times New Roman" w:hAnsi="Times New Roman"/>
          <w:sz w:val="28"/>
          <w:szCs w:val="28"/>
        </w:rPr>
        <w:t>H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F598C">
        <w:rPr>
          <w:rFonts w:ascii="Times New Roman" w:eastAsia="Times New Roman" w:hAnsi="Times New Roman"/>
          <w:sz w:val="28"/>
          <w:szCs w:val="28"/>
        </w:rPr>
        <w:t>Tinnitus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F598C">
        <w:rPr>
          <w:rFonts w:ascii="Times New Roman" w:eastAsia="Times New Roman" w:hAnsi="Times New Roman"/>
          <w:sz w:val="28"/>
          <w:szCs w:val="28"/>
        </w:rPr>
        <w:t>So</w:t>
      </w:r>
      <w:r w:rsidRPr="00C60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>finden Sie wieder Ruhe. // Gräfe &amp; Unzer: München. - 2006. - 128 Р.</w:t>
      </w:r>
    </w:p>
    <w:p w:rsidR="00614F2D" w:rsidRPr="000F598C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98C">
        <w:rPr>
          <w:rFonts w:ascii="Times New Roman" w:eastAsia="Times New Roman" w:hAnsi="Times New Roman"/>
          <w:sz w:val="28"/>
          <w:szCs w:val="28"/>
        </w:rPr>
        <w:t xml:space="preserve">Schaaf H., Holtmann H. Psychotherapie bei Tinnitus. // Schattauer: Stuttgart. - 2002. - 123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0F598C">
        <w:rPr>
          <w:rFonts w:ascii="Times New Roman" w:eastAsia="Times New Roman" w:hAnsi="Times New Roman"/>
          <w:sz w:val="28"/>
          <w:szCs w:val="28"/>
        </w:rPr>
        <w:t>.</w:t>
      </w:r>
    </w:p>
    <w:p w:rsidR="00614F2D" w:rsidRPr="00A96530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98C">
        <w:rPr>
          <w:rFonts w:ascii="Times New Roman" w:eastAsia="Times New Roman" w:hAnsi="Times New Roman"/>
          <w:sz w:val="28"/>
          <w:szCs w:val="28"/>
        </w:rPr>
        <w:t>Adjamian P., Sereda M., Hall D. The mechanisms of tinnitus: perspectives from human functional neuroimaging. // Hearing Res. - 2009. - № 253.</w:t>
      </w:r>
      <w:r w:rsidR="00A96530" w:rsidRPr="00A96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9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A96530">
        <w:rPr>
          <w:rFonts w:ascii="Times New Roman" w:eastAsia="Times New Roman" w:hAnsi="Times New Roman"/>
          <w:sz w:val="28"/>
          <w:szCs w:val="28"/>
        </w:rPr>
        <w:t>. 15-31.</w:t>
      </w:r>
    </w:p>
    <w:p w:rsidR="00614F2D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98C">
        <w:rPr>
          <w:rFonts w:ascii="Times New Roman" w:eastAsia="Times New Roman" w:hAnsi="Times New Roman"/>
          <w:sz w:val="28"/>
          <w:szCs w:val="28"/>
        </w:rPr>
        <w:t xml:space="preserve">Pilgramm M., Rychlik R., Lebisch H., Siedentop H., Goebel G., Kirschhoff D. Tinnitus in der Bundesrepublik Deutschland - eine repräsentative epidemiologische Studie. // HNO aktuell. - 1999. - № 7. - </w:t>
      </w:r>
      <w:r w:rsidRPr="000F598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0F598C">
        <w:rPr>
          <w:rFonts w:ascii="Times New Roman" w:eastAsia="Times New Roman" w:hAnsi="Times New Roman"/>
          <w:sz w:val="28"/>
          <w:szCs w:val="28"/>
        </w:rPr>
        <w:t>. 261-265.</w:t>
      </w:r>
    </w:p>
    <w:p w:rsidR="00A96530" w:rsidRPr="00A96530" w:rsidRDefault="00A96530" w:rsidP="00A965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96530">
        <w:rPr>
          <w:rFonts w:ascii="Times New Roman" w:eastAsia="Times New Roman" w:hAnsi="Times New Roman"/>
          <w:sz w:val="28"/>
          <w:szCs w:val="28"/>
          <w:lang w:val="ru-RU"/>
        </w:rPr>
        <w:t xml:space="preserve">Петрова Л. Г., Хаммуда З. А. Особенности ушного шума при различной патологии / Искусство медицины.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 w:rsidRPr="00A96530">
        <w:rPr>
          <w:rFonts w:ascii="Times New Roman" w:eastAsia="Times New Roman" w:hAnsi="Times New Roman"/>
          <w:sz w:val="28"/>
          <w:szCs w:val="28"/>
          <w:lang w:val="ru-RU"/>
        </w:rPr>
        <w:t>2007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A96530">
        <w:rPr>
          <w:rFonts w:ascii="Times New Roman" w:eastAsia="Times New Roman" w:hAnsi="Times New Roman"/>
          <w:sz w:val="28"/>
          <w:szCs w:val="28"/>
          <w:lang w:val="ru-RU"/>
        </w:rPr>
        <w:t xml:space="preserve"> - № 1. – с. 59-64</w:t>
      </w:r>
    </w:p>
    <w:p w:rsidR="00614F2D" w:rsidRPr="00A96530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7B09">
        <w:rPr>
          <w:rFonts w:ascii="Times New Roman" w:eastAsia="Times New Roman" w:hAnsi="Times New Roman"/>
          <w:sz w:val="28"/>
          <w:szCs w:val="28"/>
          <w:lang w:val="ru-RU"/>
        </w:rPr>
        <w:t xml:space="preserve">Лопотко А. И., Приходько Е. А., Мельник А. М. Шум в ушах. </w:t>
      </w:r>
      <w:r w:rsidRPr="00A96530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A96530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A96530">
        <w:rPr>
          <w:rFonts w:ascii="Times New Roman" w:eastAsia="Times New Roman" w:hAnsi="Times New Roman"/>
          <w:sz w:val="28"/>
          <w:szCs w:val="28"/>
          <w:lang w:val="ru-RU"/>
        </w:rPr>
        <w:t>б.: 2006.-278 с.</w:t>
      </w:r>
    </w:p>
    <w:p w:rsidR="00614F2D" w:rsidRPr="00717B09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F2D">
        <w:rPr>
          <w:rFonts w:ascii="Times New Roman" w:eastAsia="Times New Roman" w:hAnsi="Times New Roman"/>
          <w:sz w:val="28"/>
          <w:szCs w:val="28"/>
        </w:rPr>
        <w:t xml:space="preserve">Tinnitus assessment by means of standardized self-report questionnaires: psychometric properties of the Tinnitus Questionnaire (TQ), the Tinnitus Handicap Inventory (THI), and their short versions in an international and multi-lingual sample / Zeman F., Koller M., Schecklmann M., Langguth B., </w:t>
      </w:r>
      <w:r w:rsidRPr="00614F2D">
        <w:rPr>
          <w:rFonts w:ascii="Times New Roman" w:eastAsia="Times New Roman" w:hAnsi="Times New Roman"/>
          <w:sz w:val="28"/>
          <w:szCs w:val="28"/>
        </w:rPr>
        <w:lastRenderedPageBreak/>
        <w:t>Landgrebe M. /  Health Qual Life Outcomes. -</w:t>
      </w:r>
      <w:r w:rsidR="009E18FE" w:rsidRPr="00346D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4F2D">
        <w:rPr>
          <w:rFonts w:ascii="Times New Roman" w:eastAsia="Times New Roman" w:hAnsi="Times New Roman"/>
          <w:sz w:val="28"/>
          <w:szCs w:val="28"/>
        </w:rPr>
        <w:t>2012. Oct 18;10:128. doi: 10.1186/1477-7525-10-128.</w:t>
      </w:r>
    </w:p>
    <w:p w:rsidR="00614F2D" w:rsidRPr="00614F2D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F2D">
        <w:rPr>
          <w:rFonts w:ascii="Times New Roman" w:eastAsia="Times New Roman" w:hAnsi="Times New Roman"/>
          <w:sz w:val="28"/>
          <w:szCs w:val="28"/>
        </w:rPr>
        <w:t>The Tinnitus Handicap Inventory as a Screening Test for Psychiatric Comorbidity in Patients with Tinnitus. / Salviati M., Macrì F., Terlizzi S., Melcore C., Provenzano A., Capparelli E., Altissimi G., Cianfrone G. / Psychosomatics. – 2012. Dec 6. pii: S0033-3182(12)00088-6. doi: 10.1016/j.psym.2012.05.007.</w:t>
      </w:r>
    </w:p>
    <w:p w:rsidR="00614F2D" w:rsidRPr="00614F2D" w:rsidRDefault="00614F2D" w:rsidP="00614F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F2D">
        <w:rPr>
          <w:rFonts w:ascii="Times New Roman" w:eastAsia="Times New Roman" w:hAnsi="Times New Roman"/>
          <w:sz w:val="28"/>
          <w:szCs w:val="28"/>
        </w:rPr>
        <w:t xml:space="preserve"> Tinnitus handicap inventory for evaluating treatment effects: which changes are clinically relevant? / Zeman F., Koller M., Figueiredo R., Aazevedo A., Rates M., Coelho C., Kleinjung T., de Ridder D., Langguth B., Landgrebe M. / Otolaryngol.  Head Neck Surg. – 2011. </w:t>
      </w:r>
      <w:r w:rsidR="009E18FE" w:rsidRPr="009E18F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14F2D">
        <w:rPr>
          <w:rFonts w:ascii="Times New Roman" w:eastAsia="Times New Roman" w:hAnsi="Times New Roman"/>
          <w:sz w:val="28"/>
          <w:szCs w:val="28"/>
        </w:rPr>
        <w:t xml:space="preserve">Vol. 145. </w:t>
      </w:r>
      <w:r w:rsidR="009E18FE" w:rsidRPr="009E18FE">
        <w:rPr>
          <w:rFonts w:ascii="Times New Roman" w:eastAsia="Times New Roman" w:hAnsi="Times New Roman"/>
          <w:sz w:val="28"/>
          <w:szCs w:val="28"/>
        </w:rPr>
        <w:t>-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14F2D">
        <w:rPr>
          <w:rFonts w:ascii="Times New Roman" w:eastAsia="Times New Roman" w:hAnsi="Times New Roman"/>
          <w:sz w:val="28"/>
          <w:szCs w:val="28"/>
        </w:rPr>
        <w:t xml:space="preserve">№ 2. 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614F2D">
        <w:rPr>
          <w:rFonts w:ascii="Times New Roman" w:eastAsia="Times New Roman" w:hAnsi="Times New Roman"/>
          <w:sz w:val="28"/>
          <w:szCs w:val="28"/>
        </w:rPr>
        <w:t xml:space="preserve">P. 282-287. </w:t>
      </w:r>
    </w:p>
    <w:p w:rsidR="00614F2D" w:rsidRDefault="002D587A" w:rsidP="002D587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587A">
        <w:rPr>
          <w:rFonts w:ascii="Times New Roman" w:eastAsia="Times New Roman" w:hAnsi="Times New Roman"/>
          <w:sz w:val="28"/>
          <w:szCs w:val="28"/>
        </w:rPr>
        <w:t xml:space="preserve">Psychometric evaluation of visual analog scale for the assessment of chronic tinnitus / Adamchic I., Langguth B., Hauptmann C., Tass P. / A. Am. J. Audiol. 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 xml:space="preserve">2012. 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2D587A">
        <w:rPr>
          <w:rFonts w:ascii="Times New Roman" w:eastAsia="Times New Roman" w:hAnsi="Times New Roman"/>
          <w:sz w:val="28"/>
          <w:szCs w:val="28"/>
        </w:rPr>
        <w:t>Vol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>. 21.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 - 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 xml:space="preserve">№2. </w:t>
      </w:r>
      <w:r w:rsidR="009E18FE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2D587A">
        <w:rPr>
          <w:rFonts w:ascii="Times New Roman" w:eastAsia="Times New Roman" w:hAnsi="Times New Roman"/>
          <w:sz w:val="28"/>
          <w:szCs w:val="28"/>
        </w:rPr>
        <w:t>P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>. 215-225.</w:t>
      </w:r>
    </w:p>
    <w:p w:rsidR="00346D7C" w:rsidRPr="00346D7C" w:rsidRDefault="00346D7C" w:rsidP="00346D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6D7C">
        <w:rPr>
          <w:rFonts w:ascii="Times New Roman" w:eastAsia="Times New Roman" w:hAnsi="Times New Roman"/>
          <w:sz w:val="28"/>
          <w:szCs w:val="28"/>
        </w:rPr>
        <w:t xml:space="preserve">European Position Paper in Rhinosinusitis and Nasal Polyposis Rhinology Rhinology. - 2012. -  Mar; 50 (1).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346D7C">
        <w:rPr>
          <w:rFonts w:ascii="Times New Roman" w:eastAsia="Times New Roman" w:hAnsi="Times New Roman"/>
          <w:sz w:val="28"/>
          <w:szCs w:val="28"/>
        </w:rPr>
        <w:t>. 1-12.</w:t>
      </w:r>
    </w:p>
    <w:p w:rsidR="002D587A" w:rsidRDefault="009E18FE" w:rsidP="009E18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E18FE">
        <w:rPr>
          <w:rFonts w:ascii="Times New Roman" w:eastAsia="Times New Roman" w:hAnsi="Times New Roman"/>
          <w:sz w:val="28"/>
          <w:szCs w:val="28"/>
          <w:lang w:val="ru-RU"/>
        </w:rPr>
        <w:t>Савватеева Д.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>М., Лопатин А.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>С. Диагностика и лечение обонятельной дисфункции у больных острым риносинуситом // Российская ринология. 2010. - № 2. - С. 8</w:t>
      </w: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9E18FE">
        <w:rPr>
          <w:rFonts w:ascii="Times New Roman" w:eastAsia="Times New Roman" w:hAnsi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46D7C" w:rsidRDefault="00346D7C" w:rsidP="00346D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Димов Д.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46D7C">
        <w:rPr>
          <w:rFonts w:ascii="Times New Roman" w:eastAsia="Times New Roman" w:hAnsi="Times New Roman"/>
          <w:sz w:val="28"/>
          <w:szCs w:val="28"/>
          <w:lang w:val="ru-RU"/>
        </w:rPr>
        <w:t>А. Нарушение обоняния при заболеваниях полости носа // Журн.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46D7C">
        <w:rPr>
          <w:rFonts w:ascii="Times New Roman" w:eastAsia="Times New Roman" w:hAnsi="Times New Roman"/>
          <w:sz w:val="28"/>
          <w:szCs w:val="28"/>
          <w:lang w:val="ru-RU"/>
        </w:rPr>
        <w:t>ушн., нос. и горл. бол. – 1978. – №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46D7C">
        <w:rPr>
          <w:rFonts w:ascii="Times New Roman" w:eastAsia="Times New Roman" w:hAnsi="Times New Roman"/>
          <w:sz w:val="28"/>
          <w:szCs w:val="28"/>
          <w:lang w:val="ru-RU"/>
        </w:rPr>
        <w:t>4. – С. 75-76.</w:t>
      </w:r>
    </w:p>
    <w:p w:rsidR="00895AA7" w:rsidRDefault="00895AA7" w:rsidP="00895A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Павлова Т.</w:t>
      </w:r>
      <w:r w:rsidR="005131FD">
        <w:rPr>
          <w:rFonts w:ascii="Times New Roman" w:eastAsia="Times New Roman" w:hAnsi="Times New Roman"/>
          <w:sz w:val="28"/>
          <w:szCs w:val="28"/>
          <w:lang w:val="ru-RU"/>
        </w:rPr>
        <w:t xml:space="preserve"> Г. </w:t>
      </w:r>
      <w:r w:rsidRPr="00895AA7">
        <w:rPr>
          <w:rFonts w:ascii="Times New Roman" w:eastAsia="Times New Roman" w:hAnsi="Times New Roman"/>
          <w:sz w:val="28"/>
          <w:szCs w:val="28"/>
          <w:lang w:val="ru-RU"/>
        </w:rPr>
        <w:t>Бронхобос (карбоцистеин): возможности клинического применения при заболеваниях околоносовых пазух и среднего уха// Фарматека</w:t>
      </w:r>
      <w:r w:rsidR="005131FD">
        <w:rPr>
          <w:rFonts w:ascii="Times New Roman" w:eastAsia="Times New Roman" w:hAnsi="Times New Roman"/>
          <w:sz w:val="28"/>
          <w:szCs w:val="28"/>
          <w:lang w:val="ru-RU"/>
        </w:rPr>
        <w:t xml:space="preserve">. – </w:t>
      </w:r>
      <w:r w:rsidR="005131FD" w:rsidRPr="00895AA7">
        <w:rPr>
          <w:rFonts w:ascii="Times New Roman" w:eastAsia="Times New Roman" w:hAnsi="Times New Roman"/>
          <w:sz w:val="28"/>
          <w:szCs w:val="28"/>
          <w:lang w:val="ru-RU"/>
        </w:rPr>
        <w:t>2009</w:t>
      </w:r>
      <w:r w:rsidR="005131FD">
        <w:rPr>
          <w:rFonts w:ascii="Times New Roman" w:eastAsia="Times New Roman" w:hAnsi="Times New Roman"/>
          <w:sz w:val="28"/>
          <w:szCs w:val="28"/>
          <w:lang w:val="ru-RU"/>
        </w:rPr>
        <w:t>. - № 5.</w:t>
      </w:r>
    </w:p>
    <w:p w:rsidR="00FC0A54" w:rsidRPr="00346D7C" w:rsidRDefault="00FC0A54" w:rsidP="00895A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C0A54">
        <w:rPr>
          <w:rFonts w:ascii="Times New Roman" w:eastAsia="Times New Roman" w:hAnsi="Times New Roman"/>
          <w:sz w:val="28"/>
          <w:szCs w:val="28"/>
          <w:lang w:val="ru-RU"/>
        </w:rPr>
        <w:t xml:space="preserve">Braga P.C., Scaglione F., Scarpazza G. et al. Comparison between penetration of amoxicillin combined with carbocysteine and amoxicillin alone in </w:t>
      </w:r>
      <w:r w:rsidRPr="00FC0A5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pathological bronchial secretions and pulmonary tissue. Int. J. Clin. Pharm. Res. 1985; 5: 331–340.</w:t>
      </w:r>
    </w:p>
    <w:p w:rsidR="00E521A7" w:rsidRPr="000F598C" w:rsidRDefault="00E521A7" w:rsidP="00436D3E">
      <w:pPr>
        <w:spacing w:after="0" w:line="360" w:lineRule="auto"/>
        <w:jc w:val="both"/>
        <w:rPr>
          <w:lang w:val="ru-RU"/>
        </w:rPr>
      </w:pPr>
    </w:p>
    <w:sectPr w:rsidR="00E521A7" w:rsidRPr="000F598C" w:rsidSect="006B09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54" w:rsidRDefault="00162A54">
      <w:pPr>
        <w:spacing w:after="0" w:line="240" w:lineRule="auto"/>
      </w:pPr>
      <w:r>
        <w:separator/>
      </w:r>
    </w:p>
  </w:endnote>
  <w:endnote w:type="continuationSeparator" w:id="0">
    <w:p w:rsidR="00162A54" w:rsidRDefault="0016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A7" w:rsidRDefault="00E52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A7" w:rsidRDefault="00E521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A7" w:rsidRDefault="00E52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54" w:rsidRDefault="00162A54">
      <w:pPr>
        <w:spacing w:after="0" w:line="240" w:lineRule="auto"/>
      </w:pPr>
      <w:r>
        <w:separator/>
      </w:r>
    </w:p>
  </w:footnote>
  <w:footnote w:type="continuationSeparator" w:id="0">
    <w:p w:rsidR="00162A54" w:rsidRDefault="0016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A7" w:rsidRDefault="00E521A7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FC0A54">
      <w:rPr>
        <w:noProof/>
      </w:rPr>
      <w:t>1</w:t>
    </w:r>
    <w:r>
      <w:fldChar w:fldCharType="end"/>
    </w:r>
  </w:p>
  <w:p w:rsidR="00E521A7" w:rsidRDefault="00E521A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A7" w:rsidRDefault="00E52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923CA0"/>
    <w:multiLevelType w:val="hybridMultilevel"/>
    <w:tmpl w:val="04AA42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01BBA"/>
    <w:multiLevelType w:val="hybridMultilevel"/>
    <w:tmpl w:val="E8E08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F23A4"/>
    <w:multiLevelType w:val="hybridMultilevel"/>
    <w:tmpl w:val="1736D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11FF6"/>
    <w:multiLevelType w:val="hybridMultilevel"/>
    <w:tmpl w:val="8DCC5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35E57"/>
    <w:multiLevelType w:val="hybridMultilevel"/>
    <w:tmpl w:val="0100A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F52FD"/>
    <w:multiLevelType w:val="hybridMultilevel"/>
    <w:tmpl w:val="E30A803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7630EC"/>
    <w:multiLevelType w:val="hybridMultilevel"/>
    <w:tmpl w:val="2578CA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B73D3"/>
    <w:multiLevelType w:val="hybridMultilevel"/>
    <w:tmpl w:val="647088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2D0D73"/>
    <w:multiLevelType w:val="hybridMultilevel"/>
    <w:tmpl w:val="6ED8F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42690F"/>
    <w:multiLevelType w:val="hybridMultilevel"/>
    <w:tmpl w:val="89FC1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CA61B3"/>
    <w:multiLevelType w:val="hybridMultilevel"/>
    <w:tmpl w:val="C4C2CE9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373071"/>
    <w:multiLevelType w:val="hybridMultilevel"/>
    <w:tmpl w:val="5A500D0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8"/>
    <w:rsid w:val="000C1075"/>
    <w:rsid w:val="000E5E3C"/>
    <w:rsid w:val="000F598C"/>
    <w:rsid w:val="00162A54"/>
    <w:rsid w:val="002D587A"/>
    <w:rsid w:val="002D632D"/>
    <w:rsid w:val="00346D7C"/>
    <w:rsid w:val="00375B94"/>
    <w:rsid w:val="00382896"/>
    <w:rsid w:val="00436D3E"/>
    <w:rsid w:val="00464EA2"/>
    <w:rsid w:val="004713FA"/>
    <w:rsid w:val="005131FD"/>
    <w:rsid w:val="00537327"/>
    <w:rsid w:val="005C7822"/>
    <w:rsid w:val="005D297A"/>
    <w:rsid w:val="005D7303"/>
    <w:rsid w:val="00614F2D"/>
    <w:rsid w:val="00682687"/>
    <w:rsid w:val="00687CD8"/>
    <w:rsid w:val="006B0913"/>
    <w:rsid w:val="006B41F0"/>
    <w:rsid w:val="00751BAC"/>
    <w:rsid w:val="007575E1"/>
    <w:rsid w:val="007B6A99"/>
    <w:rsid w:val="00895AA7"/>
    <w:rsid w:val="008A3B39"/>
    <w:rsid w:val="009E18FE"/>
    <w:rsid w:val="00A96530"/>
    <w:rsid w:val="00B15E7B"/>
    <w:rsid w:val="00C26564"/>
    <w:rsid w:val="00C6005A"/>
    <w:rsid w:val="00D04848"/>
    <w:rsid w:val="00D26CCE"/>
    <w:rsid w:val="00D55544"/>
    <w:rsid w:val="00D72B0A"/>
    <w:rsid w:val="00E025C8"/>
    <w:rsid w:val="00E521A7"/>
    <w:rsid w:val="00E605E1"/>
    <w:rsid w:val="00F51D8F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E6F68"/>
  <w15:chartTrackingRefBased/>
  <w15:docId w15:val="{15039B49-9B8D-4441-95FD-9054BC0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2"/>
      <w:szCs w:val="22"/>
      <w:lang w:val="en-US"/>
    </w:rPr>
  </w:style>
  <w:style w:type="character" w:customStyle="1" w:styleId="a5">
    <w:name w:val="Нижний колонтитул Знак"/>
    <w:rPr>
      <w:sz w:val="22"/>
      <w:szCs w:val="22"/>
      <w:lang w:val="en-US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a8">
    <w:name w:val="Название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Normal (Web)"/>
    <w:basedOn w:val="a"/>
    <w:uiPriority w:val="99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68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87CD8"/>
    <w:rPr>
      <w:rFonts w:ascii="Segoe UI" w:eastAsia="Calibri" w:hAnsi="Segoe UI" w:cs="Segoe UI"/>
      <w:sz w:val="18"/>
      <w:szCs w:val="18"/>
      <w:lang w:val="en-US" w:eastAsia="ar-SA"/>
    </w:rPr>
  </w:style>
  <w:style w:type="table" w:styleId="af0">
    <w:name w:val="Table Grid"/>
    <w:basedOn w:val="a1"/>
    <w:uiPriority w:val="39"/>
    <w:rsid w:val="006B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D620-5A37-4BE2-900A-5A64EC50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Larina</dc:creator>
  <cp:keywords/>
  <cp:lastModifiedBy>Евгения Петровская</cp:lastModifiedBy>
  <cp:revision>2</cp:revision>
  <cp:lastPrinted>1899-12-31T21:00:00Z</cp:lastPrinted>
  <dcterms:created xsi:type="dcterms:W3CDTF">2017-08-03T11:39:00Z</dcterms:created>
  <dcterms:modified xsi:type="dcterms:W3CDTF">2017-08-03T11:39:00Z</dcterms:modified>
</cp:coreProperties>
</file>